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22" w:rsidRDefault="00892222" w:rsidP="00892222">
      <w:pPr>
        <w:ind w:firstLine="709"/>
        <w:jc w:val="center"/>
        <w:outlineLvl w:val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РОССИЙСКАЯ ФЕДЕРАЦИЯ</w:t>
      </w:r>
    </w:p>
    <w:p w:rsidR="00892222" w:rsidRDefault="00892222" w:rsidP="00892222">
      <w:pPr>
        <w:ind w:firstLine="709"/>
        <w:jc w:val="center"/>
        <w:outlineLvl w:val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892222" w:rsidRDefault="00892222" w:rsidP="00892222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892222" w:rsidRDefault="00892222" w:rsidP="00892222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892222" w:rsidRDefault="00892222" w:rsidP="00892222">
      <w:pPr>
        <w:ind w:firstLine="709"/>
        <w:jc w:val="center"/>
        <w:rPr>
          <w:rFonts w:cs="Arial"/>
          <w:bCs/>
          <w:kern w:val="32"/>
          <w:szCs w:val="32"/>
        </w:rPr>
      </w:pPr>
    </w:p>
    <w:p w:rsidR="00892222" w:rsidRDefault="00892222" w:rsidP="00892222">
      <w:pPr>
        <w:ind w:firstLine="709"/>
        <w:jc w:val="center"/>
        <w:outlineLvl w:val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ПОСТАНОВЛЕНИЕ                         </w:t>
      </w:r>
    </w:p>
    <w:p w:rsidR="00892222" w:rsidRDefault="00892222" w:rsidP="00892222">
      <w:pPr>
        <w:ind w:firstLine="709"/>
        <w:rPr>
          <w:rFonts w:cs="Arial"/>
          <w:bCs/>
          <w:kern w:val="32"/>
          <w:szCs w:val="32"/>
        </w:rPr>
      </w:pPr>
    </w:p>
    <w:p w:rsidR="00892222" w:rsidRDefault="00892222" w:rsidP="00892222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 28 декабря 2017 года                                                                        № 202</w:t>
      </w:r>
    </w:p>
    <w:p w:rsidR="00892222" w:rsidRDefault="00892222" w:rsidP="00892222">
      <w:pPr>
        <w:ind w:firstLine="709"/>
        <w:rPr>
          <w:rFonts w:cs="Arial"/>
          <w:bCs/>
          <w:kern w:val="32"/>
          <w:szCs w:val="32"/>
        </w:rPr>
      </w:pPr>
    </w:p>
    <w:p w:rsidR="00892222" w:rsidRDefault="00892222" w:rsidP="00892222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Об утверждении муниципальной программы</w:t>
      </w:r>
    </w:p>
    <w:p w:rsidR="00892222" w:rsidRDefault="00892222" w:rsidP="00892222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«Развитие информационных и коммуникационных </w:t>
      </w:r>
    </w:p>
    <w:p w:rsidR="00892222" w:rsidRDefault="00892222" w:rsidP="00892222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технологий администрации Судбищенского   сельского</w:t>
      </w:r>
    </w:p>
    <w:p w:rsidR="00892222" w:rsidRDefault="00892222" w:rsidP="00892222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поселения на 2018-2020 годы» </w:t>
      </w: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  <w:r>
        <w:t xml:space="preserve">В соответствие со ст. 179 Бюджетного кодекса Российской Федерации,   с </w:t>
      </w:r>
      <w:hyperlink r:id="rId5" w:history="1">
        <w:r>
          <w:rPr>
            <w:rStyle w:val="a3"/>
            <w:color w:val="auto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,  ПОСТАНОВЛЯЮ:</w:t>
      </w: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  <w:r>
        <w:t>1. Утвердить муниципальную  программу «Развитие информационных и коммуникационных технологий администрации  Судбищенского  сельского  поселения на 2018-2020 годы»  (прилагается).</w:t>
      </w:r>
    </w:p>
    <w:p w:rsidR="00892222" w:rsidRDefault="00892222" w:rsidP="00892222">
      <w:pPr>
        <w:ind w:firstLine="709"/>
      </w:pPr>
      <w:r>
        <w:t xml:space="preserve">2. Финансирование муниципальной  программы осуществлять в пределах средств, утвержденных в бюджете Судбищенского сельского поселения. </w:t>
      </w:r>
    </w:p>
    <w:p w:rsidR="00892222" w:rsidRDefault="00892222" w:rsidP="00892222">
      <w:pPr>
        <w:ind w:firstLine="709"/>
        <w:rPr>
          <w:rFonts w:cs="Arial"/>
          <w:bCs/>
          <w:kern w:val="28"/>
          <w:szCs w:val="32"/>
        </w:rPr>
      </w:pPr>
      <w:r>
        <w:t>3. Постановление администрации Судбищенского сельского поселения от 27 октября 2014 года № 40/2 «</w:t>
      </w:r>
      <w:r>
        <w:rPr>
          <w:rFonts w:cs="Arial"/>
          <w:bCs/>
          <w:kern w:val="28"/>
          <w:szCs w:val="32"/>
        </w:rPr>
        <w:t xml:space="preserve">Об утверждении муниципальной целевой </w:t>
      </w:r>
    </w:p>
    <w:p w:rsidR="00892222" w:rsidRDefault="00892222" w:rsidP="00892222">
      <w:pPr>
        <w:ind w:firstLine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программы «Развитие информационных и коммуникационных технологий, повышение  качества предоставления муниципальных услуг  в Судбищенском  сельском поселении на 2015-2017 годы» </w:t>
      </w:r>
      <w:r>
        <w:t xml:space="preserve"> считать утратившим силу.</w:t>
      </w:r>
    </w:p>
    <w:p w:rsidR="00892222" w:rsidRDefault="00892222" w:rsidP="00892222">
      <w:pPr>
        <w:ind w:firstLine="709"/>
      </w:pPr>
      <w:r>
        <w:t>4.Настоящее постановление вступает в силу  со дня его подписания, но не ранее 01.01.2018 года.</w:t>
      </w: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  <w:r>
        <w:t>5.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</w:pPr>
    </w:p>
    <w:p w:rsidR="00892222" w:rsidRDefault="00892222" w:rsidP="00892222">
      <w:pPr>
        <w:ind w:firstLine="709"/>
        <w:outlineLvl w:val="0"/>
      </w:pPr>
      <w:r>
        <w:t xml:space="preserve">Глава Судбищенского  </w:t>
      </w:r>
    </w:p>
    <w:p w:rsidR="00892222" w:rsidRDefault="00892222" w:rsidP="00892222">
      <w:pPr>
        <w:ind w:firstLine="709"/>
      </w:pPr>
      <w:r>
        <w:t>сельского поселения</w:t>
      </w:r>
      <w:r>
        <w:tab/>
      </w:r>
      <w:r>
        <w:tab/>
      </w:r>
      <w:r>
        <w:tab/>
        <w:t xml:space="preserve">             С.М.Папонова</w:t>
      </w:r>
    </w:p>
    <w:p w:rsidR="00892222" w:rsidRDefault="00892222" w:rsidP="00892222">
      <w:pPr>
        <w:pStyle w:val="ConsPlusTitle"/>
        <w:widowControl/>
        <w:jc w:val="right"/>
        <w:rPr>
          <w:b w:val="0"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</w:t>
      </w:r>
    </w:p>
    <w:p w:rsidR="00892222" w:rsidRDefault="00892222" w:rsidP="0089222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892222" w:rsidRDefault="00892222" w:rsidP="0089222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Судбищенского сельского поселения </w:t>
      </w:r>
    </w:p>
    <w:p w:rsidR="00892222" w:rsidRDefault="00892222" w:rsidP="00892222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от 28 декабря 2017 года №202</w:t>
      </w:r>
    </w:p>
    <w:p w:rsidR="00892222" w:rsidRDefault="00892222" w:rsidP="00892222">
      <w:pPr>
        <w:pStyle w:val="ConsPlusTitle"/>
        <w:widowControl/>
        <w:jc w:val="right"/>
        <w:rPr>
          <w:sz w:val="24"/>
          <w:szCs w:val="24"/>
        </w:rPr>
      </w:pPr>
    </w:p>
    <w:p w:rsidR="00892222" w:rsidRDefault="00892222" w:rsidP="00892222">
      <w:pPr>
        <w:pStyle w:val="ConsPlusTitle"/>
        <w:widowControl/>
        <w:jc w:val="right"/>
        <w:rPr>
          <w:sz w:val="24"/>
          <w:szCs w:val="24"/>
        </w:rPr>
      </w:pPr>
    </w:p>
    <w:p w:rsidR="00892222" w:rsidRDefault="00892222" w:rsidP="00892222">
      <w:pPr>
        <w:pStyle w:val="ConsPlusTitle"/>
        <w:widowControl/>
        <w:jc w:val="center"/>
        <w:rPr>
          <w:sz w:val="24"/>
          <w:szCs w:val="24"/>
        </w:rPr>
      </w:pPr>
    </w:p>
    <w:p w:rsidR="00892222" w:rsidRDefault="00892222" w:rsidP="00892222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МУНИЦИПАЛЬНАЯ ПРОГРАММА</w:t>
      </w:r>
    </w:p>
    <w:p w:rsidR="00892222" w:rsidRDefault="00892222" w:rsidP="00892222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«Развитие,  информационных и коммуникационных технологий администрации Судбищенского  сельского поселения на 2018-2020 годы»</w:t>
      </w:r>
    </w:p>
    <w:p w:rsidR="00892222" w:rsidRDefault="00892222" w:rsidP="00892222">
      <w:pPr>
        <w:rPr>
          <w:rFonts w:cs="Arial"/>
        </w:rPr>
      </w:pPr>
    </w:p>
    <w:p w:rsidR="00892222" w:rsidRDefault="00892222" w:rsidP="00892222">
      <w:pPr>
        <w:numPr>
          <w:ilvl w:val="0"/>
          <w:numId w:val="1"/>
        </w:numPr>
        <w:autoSpaceDN w:val="0"/>
        <w:ind w:left="0" w:firstLine="0"/>
        <w:jc w:val="center"/>
        <w:rPr>
          <w:rFonts w:cs="Arial"/>
        </w:rPr>
      </w:pPr>
      <w:r>
        <w:rPr>
          <w:rFonts w:cs="Arial"/>
        </w:rPr>
        <w:t>ПАСПОРТ ПРОГРАММЫ</w:t>
      </w:r>
    </w:p>
    <w:p w:rsidR="00892222" w:rsidRDefault="00892222" w:rsidP="00892222">
      <w:pPr>
        <w:jc w:val="center"/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«Развитие,  информационных и коммуникационных технологий администрации Судбищенского  сельского поселения на 2018-2020 годы»</w:t>
            </w: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Основание для разработки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pStyle w:val="Table"/>
              <w:ind w:firstLine="709"/>
              <w:jc w:val="both"/>
              <w:rPr>
                <w:rStyle w:val="a3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hyperlink r:id="rId6" w:tgtFrame="Logical" w:history="1">
              <w:r>
                <w:rPr>
                  <w:rStyle w:val="a3"/>
                  <w:color w:val="000000"/>
                  <w:szCs w:val="24"/>
                </w:rPr>
                <w:t>Стратегия развития информационного общества в Российской Федерации, утвержденная Президентом</w:t>
              </w:r>
            </w:hyperlink>
            <w:r>
              <w:rPr>
                <w:rStyle w:val="a3"/>
                <w:color w:val="000000"/>
                <w:szCs w:val="24"/>
              </w:rPr>
              <w:t xml:space="preserve"> </w:t>
            </w:r>
            <w:hyperlink r:id="rId7" w:tgtFrame="Logical" w:history="1">
              <w:r>
                <w:rPr>
                  <w:rStyle w:val="a3"/>
                  <w:color w:val="000000"/>
                  <w:szCs w:val="24"/>
                </w:rPr>
                <w:t>Российской Федерации 7 февраля 2008 года N Пр-212</w:t>
              </w:r>
            </w:hyperlink>
            <w:r>
              <w:rPr>
                <w:rStyle w:val="a3"/>
                <w:color w:val="000000"/>
                <w:szCs w:val="24"/>
              </w:rPr>
              <w:t>;</w:t>
            </w:r>
          </w:p>
          <w:p w:rsidR="00892222" w:rsidRDefault="00892222">
            <w:pPr>
              <w:pStyle w:val="Table"/>
              <w:ind w:firstLine="709"/>
              <w:jc w:val="both"/>
            </w:pPr>
            <w:r>
              <w:rPr>
                <w:color w:val="000000"/>
                <w:szCs w:val="24"/>
              </w:rPr>
              <w:t>-</w:t>
            </w:r>
            <w:hyperlink r:id="rId8" w:tgtFrame="Logical" w:history="1">
              <w:r>
                <w:rPr>
                  <w:rStyle w:val="a3"/>
                  <w:color w:val="000000"/>
                  <w:szCs w:val="24"/>
                </w:rPr>
                <w:t>Закон Орловской области от 13.05.2008 N 774-ОЗ</w:t>
              </w:r>
            </w:hyperlink>
            <w:r>
              <w:rPr>
                <w:rStyle w:val="a3"/>
                <w:color w:val="000000"/>
                <w:szCs w:val="24"/>
              </w:rPr>
              <w:t xml:space="preserve"> </w:t>
            </w:r>
            <w:hyperlink r:id="rId9" w:tgtFrame="Logical" w:history="1">
              <w:r>
                <w:rPr>
                  <w:rStyle w:val="a3"/>
                  <w:color w:val="000000"/>
                  <w:szCs w:val="24"/>
                </w:rPr>
                <w:t>«Об информатизации и информационных ресурсах Орловской области»</w:t>
              </w:r>
            </w:hyperlink>
            <w:r>
              <w:rPr>
                <w:color w:val="000000"/>
                <w:szCs w:val="24"/>
              </w:rPr>
              <w:t>(в редакции от 04.06.2012 года № 1367-ОЗ)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</w:t>
            </w: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-Федеральный закон от 06.10.2003 N 131-ФЗ «Об общих принципах организации местного самоуправления в Российской Федерации», Гражданский кодекс Российской Федерации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pStyle w:val="Table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Судбищенского сельского поселения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 для обеспечения информационного взаимодействия органов местного самоуправления с организациями муниципального образования 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в том числе: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развитие и эксплуатация вычислительных сетей и каналов передачи данных на основе новейших телекоммуникационных технологий;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компьютерной грамотности работников администрации;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сопровождение  1:С бухгалтерия, 1:С зарплата и кадры, СУФД,  АС Бюджет поселения, 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 - сайт; СМЭВ, ГИС ГМП,  Электронный бюджет, ФИАС, АИС СП;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ЭЦП в систему межведомственного информационного обмена, в том числе создание удостоверяющего центра;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защите информации, в том числе по защите персональных данных;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квалификации и профессиональной подготовки муниципальных служащих администрации в области использования ИКТ;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Перечень целевых показателей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обслуживаемых программ 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обеспеченность программными средствами 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обслуживаемых компьютеров </w:t>
            </w:r>
          </w:p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обслуживаемых принтеров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2018-2020 годы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Объемы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Объем финансирования Программы из местного бюджета составляет 12 тыс.  рублей. В том числе 2018 год-4тыс.рублей, 2019 год- 4 тыс.рублей, 2020 год—4 тыс.рублей.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Исполнители основных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Судбищенского сельского поселения</w:t>
            </w:r>
          </w:p>
        </w:tc>
      </w:tr>
      <w:tr w:rsidR="00892222" w:rsidTr="008922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Ожидаемые  конечные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оперативности информационного обмена и обеспечение доступа к муниципальным информационным ресурсам администрации за счет бесперебойного функционирования муниципальной </w:t>
            </w:r>
            <w:r>
              <w:rPr>
                <w:sz w:val="24"/>
                <w:szCs w:val="24"/>
              </w:rPr>
              <w:lastRenderedPageBreak/>
              <w:t>информационной системы на территории поселения, в том числе повышение процента доступности сети Интернет с рабочих мест работников администрации;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своих функций;</w:t>
            </w:r>
          </w:p>
          <w:p w:rsidR="00892222" w:rsidRDefault="00892222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администрации лицензионным общесистемным и офисным программным обеспечением.</w:t>
            </w: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92222" w:rsidRDefault="00892222" w:rsidP="00892222">
      <w:pPr>
        <w:rPr>
          <w:rFonts w:cs="Arial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разработки Программы являются Федеральный закон от 06.10.2003 N 131-ФЗ "Об общих принципах организации местного самоуправления в Российской Федерации", Гражданский кодекс Российской Федерации,  Закон Орловской области от 13.05.2008г.№774-ОЗ « Об информатизации и информационных ресурсах Орловской области», </w:t>
      </w:r>
      <w:hyperlink r:id="rId10" w:tgtFrame="Logical" w:history="1">
        <w:r>
          <w:rPr>
            <w:rStyle w:val="a3"/>
            <w:color w:val="000000"/>
            <w:sz w:val="24"/>
            <w:szCs w:val="24"/>
          </w:rPr>
          <w:t>Стратегия развития информационного общества в Российской Федерации, утвержденная Президентом</w:t>
        </w:r>
      </w:hyperlink>
      <w:r>
        <w:rPr>
          <w:rStyle w:val="a3"/>
          <w:color w:val="000000"/>
          <w:szCs w:val="24"/>
        </w:rPr>
        <w:t xml:space="preserve"> </w:t>
      </w:r>
      <w:hyperlink r:id="rId11" w:tgtFrame="Logical" w:history="1">
        <w:r>
          <w:rPr>
            <w:rStyle w:val="a3"/>
            <w:color w:val="000000"/>
            <w:sz w:val="24"/>
            <w:szCs w:val="24"/>
          </w:rPr>
          <w:t>Российской Федерации 7 февраля 2008 года N Пр-212</w:t>
        </w:r>
      </w:hyperlink>
      <w:r>
        <w:rPr>
          <w:rStyle w:val="a3"/>
          <w:color w:val="000000"/>
          <w:sz w:val="24"/>
          <w:szCs w:val="24"/>
        </w:rPr>
        <w:t xml:space="preserve">. 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Решение проблемы повышения эффективности использования ИКТ для обеспечения информационного взаимодействия администрации  Судбищенского  сельского поселения (далее – администрация) с организациями должно включать в себя: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сервис-ориентированного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 организаций;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координации действий органов местного самоуправления в сфере информатизации в целом и взаимодействия с организациями на базе ИКТ в частности.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Оценка текущего уровня развития ИКТ в администрации позволяет рассчитывать на возможность решения поставленных задач на следующих основаниях: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накоплен существенный опыт разработки, внедрения и ведения профильных информационных систем;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накоплен значительный объем информации о деятельности администрации;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организовано, сопровождается и поддерживается в актуальном состоянии представительство администрации в сети Интернет, содержащее большой объем информации о деятельности;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проводятся мероприятия, направленные на интеграцию, унификацию информационных ресурсов администрации;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проводятся мероприятия, направленные на повышение эффективности применения ИКТ;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неисключительных прав на используемые программные продукты может привести к перебоям в работе администрации и значительному экономическому ущербу в целом.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администрацией и правообладателем программного обеспечения: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эксплуатировать уже установленное в администрации программное обеспечение, что существенно снижает затраты трудовых и временных ресурсов;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Только программно-целевой метод позволяет использовать средства бюджета Судбищенского  сельского поселения  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892222" w:rsidRDefault="00892222" w:rsidP="00892222">
      <w:pPr>
        <w:pStyle w:val="ConsPlusNormal"/>
        <w:ind w:firstLine="54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892222" w:rsidRDefault="00892222" w:rsidP="00892222">
      <w:pPr>
        <w:pStyle w:val="ConsPlusNormal"/>
        <w:ind w:firstLine="54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 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для обеспечения информационного взаимодействия органов местного самоуправления с организациями муниципального образования 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в том числе: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эксплуатация вычислительных сетей и каналов передачи данных на основе новейших телекоммуникационных технологий;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компьютерной грамотности работников администрации;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Все это направленно на решение следующих задач: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сопровождение  1:С бухгалтерия, 1:С зарплата и кадры, СУФД, Орбита,  АС Бюджет поселения, Гарант, Хозяйство, ЗУМО,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 - сайт; СМЭВ, ГИС ГМП,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-консолидация, Электронный бюджет;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внедрение ЭЦП в систему межведомственного информационного обмена, в том числе создание удостоверяющего центра;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защите информации, в том числе по защите персональных данных;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квалификации и профессиональной подготовки муниципальных служащих администрации в области использования ИКТ;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работы администрации за счет приобретения современной оргтехники, использования современного программного обеспечения.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отдельных этапов мероприятий Программы осуществляется посредством заключения договоров с исполнителями (подрядчиками) в соответствии с 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нужд". </w:t>
      </w:r>
    </w:p>
    <w:p w:rsidR="00892222" w:rsidRDefault="00892222" w:rsidP="00892222">
      <w:pPr>
        <w:pStyle w:val="ConsPlusNormal"/>
        <w:ind w:firstLine="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both"/>
        <w:rPr>
          <w:sz w:val="24"/>
          <w:szCs w:val="24"/>
        </w:rPr>
      </w:pPr>
    </w:p>
    <w:p w:rsidR="00892222" w:rsidRDefault="00892222" w:rsidP="00892222">
      <w:pPr>
        <w:tabs>
          <w:tab w:val="center" w:pos="4677"/>
        </w:tabs>
        <w:ind w:firstLine="709"/>
        <w:jc w:val="center"/>
        <w:rPr>
          <w:rFonts w:cs="Arial"/>
        </w:rPr>
      </w:pPr>
      <w:r>
        <w:rPr>
          <w:rFonts w:cs="Arial"/>
        </w:rPr>
        <w:t xml:space="preserve"> Целевые показатели муниципальной программы </w:t>
      </w:r>
    </w:p>
    <w:p w:rsidR="00892222" w:rsidRDefault="00892222" w:rsidP="00892222">
      <w:pPr>
        <w:tabs>
          <w:tab w:val="center" w:pos="4677"/>
        </w:tabs>
        <w:ind w:firstLine="709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2625"/>
        <w:gridCol w:w="1748"/>
        <w:gridCol w:w="1312"/>
        <w:gridCol w:w="1312"/>
        <w:gridCol w:w="1312"/>
      </w:tblGrid>
      <w:tr w:rsidR="00892222" w:rsidTr="0089222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Единица измерения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Значение показателей  по годам</w:t>
            </w:r>
          </w:p>
        </w:tc>
      </w:tr>
      <w:tr w:rsidR="00892222" w:rsidTr="008922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2019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</w:tr>
      <w:tr w:rsidR="00892222" w:rsidTr="00892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программ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</w:tr>
      <w:tr w:rsidR="00892222" w:rsidTr="00892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Обеспеченность программными средствами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</w:tr>
      <w:tr w:rsidR="00892222" w:rsidTr="00892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компьютеров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  <w:highlight w:val="yellow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</w:tr>
      <w:tr w:rsidR="00892222" w:rsidTr="00892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принтеров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  <w:highlight w:val="yellow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</w:tr>
    </w:tbl>
    <w:p w:rsidR="00892222" w:rsidRDefault="00892222" w:rsidP="00892222">
      <w:pPr>
        <w:pStyle w:val="ConsPlusNormal"/>
        <w:ind w:firstLine="0"/>
        <w:outlineLvl w:val="1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Перечень и краткое описание основных мероприятий программы</w:t>
      </w:r>
    </w:p>
    <w:p w:rsidR="00892222" w:rsidRDefault="00892222" w:rsidP="00892222">
      <w:pPr>
        <w:pStyle w:val="ConsPlusNormal"/>
        <w:ind w:firstLine="54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предусматривается реализация комплекса взаимосвязанных программных мероприятий, направленных на решение конкретных задач.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программных мероприятий основывалась на следующих принципах: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системность: мероприятия Программы должны дополнять друг друга и обеспечивать достижение максимального эффекта от их взаимодействия и совместного использования их результатов;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приоритет конечных целей: мероприятия Программы должны рассматриваться как инструмент, обеспечивающий деятельность администрации, а не как конечный результат;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организационная обеспеченность мероприятий: система мероприятий должна предусматривать выполнение организационных мероприятий, подготовку правовой, методической и регламентной базы и др.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мероприятий Программы с указанием объемов финансирования представлены в приложении к настоящей Программе. </w:t>
      </w:r>
    </w:p>
    <w:p w:rsidR="00892222" w:rsidRDefault="00892222" w:rsidP="00892222">
      <w:pPr>
        <w:rPr>
          <w:rFonts w:cs="Arial"/>
        </w:rPr>
      </w:pPr>
    </w:p>
    <w:p w:rsidR="00892222" w:rsidRDefault="00892222" w:rsidP="00892222">
      <w:pPr>
        <w:jc w:val="center"/>
        <w:rPr>
          <w:rFonts w:cs="Arial"/>
        </w:rPr>
      </w:pPr>
    </w:p>
    <w:p w:rsidR="00892222" w:rsidRDefault="00892222" w:rsidP="00892222">
      <w:pPr>
        <w:jc w:val="center"/>
        <w:rPr>
          <w:rFonts w:cs="Arial"/>
        </w:rPr>
      </w:pPr>
      <w:r>
        <w:rPr>
          <w:rFonts w:cs="Arial"/>
        </w:rPr>
        <w:t xml:space="preserve">ПЕРЕЧЕНЬ </w:t>
      </w:r>
    </w:p>
    <w:p w:rsidR="00892222" w:rsidRDefault="00892222" w:rsidP="00892222">
      <w:pPr>
        <w:jc w:val="center"/>
        <w:rPr>
          <w:rFonts w:cs="Arial"/>
        </w:rPr>
      </w:pPr>
      <w:r>
        <w:rPr>
          <w:rFonts w:cs="Arial"/>
        </w:rPr>
        <w:t>основных мероприятий программ</w:t>
      </w:r>
    </w:p>
    <w:p w:rsidR="00892222" w:rsidRDefault="00892222" w:rsidP="0089222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134"/>
        <w:gridCol w:w="1134"/>
        <w:gridCol w:w="283"/>
        <w:gridCol w:w="425"/>
        <w:gridCol w:w="189"/>
        <w:gridCol w:w="47"/>
        <w:gridCol w:w="473"/>
        <w:gridCol w:w="128"/>
        <w:gridCol w:w="61"/>
        <w:gridCol w:w="662"/>
        <w:gridCol w:w="991"/>
        <w:gridCol w:w="1701"/>
      </w:tblGrid>
      <w:tr w:rsidR="00892222" w:rsidTr="00892222">
        <w:trPr>
          <w:trHeight w:val="9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финансирования, всего </w:t>
            </w: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(тыс.руб)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по годам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892222" w:rsidTr="00892222">
        <w:trPr>
          <w:trHeight w:val="99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</w:tr>
      <w:tr w:rsidR="00892222" w:rsidTr="0089222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892222" w:rsidTr="0089222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</w:t>
            </w:r>
          </w:p>
        </w:tc>
      </w:tr>
      <w:tr w:rsidR="00892222" w:rsidTr="00892222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повышение уровня квалификации и профессиональной подготовки муниципальных служащих администрации в области использования ИКТ, сопровождение  1:С бухгалтерия, 1:С зарплата и кадры, СУФД,  АС Бюджет поселения,  </w:t>
            </w:r>
            <w:r>
              <w:rPr>
                <w:rFonts w:cs="Arial"/>
                <w:lang w:val="en-US"/>
              </w:rPr>
              <w:t>Web</w:t>
            </w:r>
            <w:r>
              <w:rPr>
                <w:rFonts w:cs="Arial"/>
              </w:rPr>
              <w:t xml:space="preserve"> - сайт; СМЭВ, ГИС ГМП, ФИАС, АИС СП, Электронный бюджет; внедрение ЭЦП в систему межведомственного информационного обмена, в том числе создание удостоверяющего центра, выполнение мероприятий по защите информации, в том числе по защите персональных данных; выполнение мероприятий по выполнению требований действующего законодательства о правах на результаты интеллектуальной деятельности и средств индивидуализации</w:t>
            </w:r>
          </w:p>
        </w:tc>
      </w:tr>
      <w:tr w:rsidR="00892222" w:rsidTr="00892222">
        <w:trPr>
          <w:trHeight w:val="51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jc w:val="center"/>
              <w:rPr>
                <w:rFonts w:cs="Arial"/>
              </w:rPr>
            </w:pP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Информационно-техническое сопровождение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 сельского поселения</w:t>
            </w:r>
          </w:p>
        </w:tc>
      </w:tr>
      <w:tr w:rsidR="00892222" w:rsidTr="00892222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22,5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rPr>
                <w:rFonts w:cs="Arial"/>
              </w:rPr>
            </w:pPr>
            <w:r>
              <w:rPr>
                <w:rFonts w:cs="Arial"/>
              </w:rPr>
              <w:t>22,5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</w:tr>
      <w:tr w:rsidR="00892222" w:rsidTr="00892222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892222" w:rsidTr="00892222">
        <w:trPr>
          <w:trHeight w:val="41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jc w:val="center"/>
              <w:rPr>
                <w:rFonts w:cs="Arial"/>
              </w:rPr>
            </w:pPr>
          </w:p>
          <w:p w:rsidR="00892222" w:rsidRDefault="00892222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Ремонт, утилизация и обслуживание оргтехники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892222" w:rsidTr="00892222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92222" w:rsidRDefault="0089222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</w:tr>
      <w:tr w:rsidR="00892222" w:rsidTr="00892222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892222" w:rsidTr="00892222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92222" w:rsidRDefault="0089222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22" w:rsidRDefault="00892222">
            <w:pPr>
              <w:ind w:firstLine="0"/>
              <w:jc w:val="left"/>
              <w:rPr>
                <w:rFonts w:cs="Arial"/>
              </w:rPr>
            </w:pPr>
          </w:p>
        </w:tc>
      </w:tr>
      <w:tr w:rsidR="00892222" w:rsidTr="00892222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44,0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22" w:rsidRDefault="0089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892222" w:rsidRDefault="00892222" w:rsidP="00892222">
      <w:pPr>
        <w:pStyle w:val="ConsPlusNormal"/>
        <w:ind w:firstLine="0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Обоснование ресурсного обеспечения муниципальной программы </w:t>
      </w:r>
    </w:p>
    <w:p w:rsidR="00892222" w:rsidRDefault="00892222" w:rsidP="00892222">
      <w:pPr>
        <w:pStyle w:val="ConsPlusNormal"/>
        <w:ind w:firstLine="540"/>
        <w:jc w:val="center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Учитывая возможности и потребности администрации Судбищенского  сельского поселения, для реализации настоящей Программы предлагаются следующие объемы финансирования.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Общая потребность в денежных средствах на реализацию программных мероприятий составляет 12 тыс.рублей, в том числе 2018 год- 4 тыс. рублей, 2019 год-4  тыс.рублей, 2020 год-4 тыс.рублей.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Программы является местный бюджет (бюджет Судбищенского  сельского поселения ).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реализации муниципальной программы</w:t>
      </w:r>
    </w:p>
    <w:p w:rsidR="00892222" w:rsidRDefault="00892222" w:rsidP="00892222">
      <w:pPr>
        <w:pStyle w:val="ConsPlusNormal"/>
        <w:ind w:firstLine="540"/>
        <w:jc w:val="center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Ожидаемые конечные результаты Программы: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оперативности информационного обмена и обеспечение доступа к муниципальным информационным ресурсам администрации за счет бесперебойного функционирования муниципальной информационной системы на территории поселения, в том числе повышение процента доступности сети Интернет с рабочих мест работников администрации;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своих функций;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администрации лицензионным общесистемным и офисным программным обеспечением.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оценки эффективности реализации муниципальной программы проводится в соответствии с типовой методикой с приложением №2 к  постановлению администрации  Судбищенского сельского поселения  от 24 мая 2016 года №104 «Об утверждении Порядка проведения и критерии  оценки эффективности реализации муниципальных программ Судбищенского сельского поселения ». </w:t>
      </w:r>
    </w:p>
    <w:p w:rsidR="00892222" w:rsidRDefault="00892222" w:rsidP="00892222">
      <w:pPr>
        <w:pStyle w:val="ConsPlusNormal"/>
        <w:ind w:firstLine="54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Механизм реализации муниципальной программы и контроль за ее выполнением</w:t>
      </w:r>
    </w:p>
    <w:p w:rsidR="00892222" w:rsidRDefault="00892222" w:rsidP="00892222">
      <w:pPr>
        <w:pStyle w:val="ConsPlusNormal"/>
        <w:ind w:firstLine="540"/>
        <w:jc w:val="both"/>
        <w:rPr>
          <w:sz w:val="24"/>
          <w:szCs w:val="24"/>
        </w:rPr>
      </w:pP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состоит в участии администрации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разработчиков программного обеспечения.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совместимости, стандартизации и унификации решений, принимаемых при реализации мероприятий Программы, администрацией осуществляются технические координация и контроль в рамках реализации Программы.</w:t>
      </w:r>
    </w:p>
    <w:p w:rsidR="00892222" w:rsidRDefault="00892222" w:rsidP="00892222">
      <w:pPr>
        <w:pStyle w:val="ConsPlusNormal"/>
        <w:ind w:firstLine="851"/>
        <w:jc w:val="both"/>
        <w:rPr>
          <w:sz w:val="24"/>
          <w:szCs w:val="24"/>
        </w:rPr>
      </w:pPr>
    </w:p>
    <w:p w:rsidR="00892222" w:rsidRDefault="00892222" w:rsidP="00892222">
      <w:pPr>
        <w:rPr>
          <w:rFonts w:cs="Arial"/>
        </w:rPr>
      </w:pPr>
    </w:p>
    <w:p w:rsidR="00892222" w:rsidRDefault="00892222" w:rsidP="00892222"/>
    <w:p w:rsidR="0056405F" w:rsidRDefault="0056405F">
      <w:bookmarkStart w:id="0" w:name="_GoBack"/>
      <w:bookmarkEnd w:id="0"/>
    </w:p>
    <w:sectPr w:rsidR="005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3"/>
    <w:rsid w:val="0056405F"/>
    <w:rsid w:val="00892222"/>
    <w:rsid w:val="009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B630-F490-429D-A38F-B0A5BBA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922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2222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89222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8922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2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..\content\act\aa6d525e-99e7-4bd8-8d8c-678d377618c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..\..\content\act\9aa82606-b063-44eb-9243-5d3cda7e575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..\..\content\act\9aa82606-b063-44eb-9243-5d3cda7e575a.html" TargetMode="External"/><Relationship Id="rId11" Type="http://schemas.openxmlformats.org/officeDocument/2006/relationships/hyperlink" Target="file:///E:\..\..\content\act\9aa82606-b063-44eb-9243-5d3cda7e575a.html" TargetMode="External"/><Relationship Id="rId5" Type="http://schemas.openxmlformats.org/officeDocument/2006/relationships/hyperlink" Target="file:///E:\..\..\content\act\96e20c02-1b12-465a-b64c-24aa92270007.html" TargetMode="External"/><Relationship Id="rId10" Type="http://schemas.openxmlformats.org/officeDocument/2006/relationships/hyperlink" Target="file:///E:\..\..\content\act\9aa82606-b063-44eb-9243-5d3cda7e57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..\..\content\act\aa6d525e-99e7-4bd8-8d8c-678d377618c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2018-03-22T07:57:00Z</dcterms:created>
  <dcterms:modified xsi:type="dcterms:W3CDTF">2018-03-22T07:58:00Z</dcterms:modified>
</cp:coreProperties>
</file>